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8D5F97" w14:textId="115D3FB0" w:rsidR="00032C36" w:rsidRDefault="00032C36" w:rsidP="00032C36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</w:rPr>
        <w:t>Уважаемые Студенты</w:t>
      </w:r>
      <w:r>
        <w:rPr>
          <w:rFonts w:ascii="Times New Roman" w:hAnsi="Times New Roman"/>
          <w:b/>
          <w:bCs/>
          <w:sz w:val="40"/>
          <w:szCs w:val="40"/>
          <w:lang w:val="kk-KZ"/>
        </w:rPr>
        <w:t xml:space="preserve">!!! </w:t>
      </w:r>
    </w:p>
    <w:p w14:paraId="4C990530" w14:textId="1908E9EA" w:rsidR="00032C36" w:rsidRDefault="00032C36" w:rsidP="00032C36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Для получения балов по накопительной системе для Рейтинга  </w:t>
      </w:r>
      <w:r w:rsidR="00B254FA">
        <w:rPr>
          <w:rFonts w:ascii="Times New Roman" w:hAnsi="Times New Roman"/>
          <w:sz w:val="28"/>
          <w:szCs w:val="28"/>
          <w:lang w:val="kk-KZ"/>
        </w:rPr>
        <w:t>І</w:t>
      </w:r>
      <w:r w:rsidR="00971FBA">
        <w:rPr>
          <w:rFonts w:ascii="Times New Roman" w:hAnsi="Times New Roman"/>
          <w:sz w:val="28"/>
          <w:szCs w:val="28"/>
          <w:lang w:val="kk-KZ"/>
        </w:rPr>
        <w:t>І</w:t>
      </w:r>
      <w:r>
        <w:rPr>
          <w:rFonts w:ascii="Times New Roman" w:hAnsi="Times New Roman"/>
          <w:sz w:val="28"/>
          <w:szCs w:val="28"/>
          <w:lang w:val="kk-KZ"/>
        </w:rPr>
        <w:t>, необходимо выполнить следующее:</w:t>
      </w:r>
    </w:p>
    <w:p w14:paraId="2568DA68" w14:textId="77777777" w:rsidR="00032C36" w:rsidRDefault="00032C36" w:rsidP="00032C3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/>
          <w:sz w:val="28"/>
          <w:szCs w:val="28"/>
        </w:rPr>
        <w:t>%;</w:t>
      </w:r>
    </w:p>
    <w:p w14:paraId="428F84B3" w14:textId="1B171968" w:rsidR="00032C36" w:rsidRDefault="00032C36" w:rsidP="00032C3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Конспекты лекций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15</w:t>
      </w:r>
      <w:r>
        <w:rPr>
          <w:rFonts w:ascii="Times New Roman" w:hAnsi="Times New Roman"/>
          <w:sz w:val="28"/>
          <w:szCs w:val="28"/>
        </w:rPr>
        <w:t>%) + Посещение занятий, данные по журналу посещаемости</w:t>
      </w:r>
      <w:r>
        <w:rPr>
          <w:rFonts w:ascii="Times New Roman" w:hAnsi="Times New Roman"/>
          <w:sz w:val="28"/>
          <w:szCs w:val="28"/>
          <w:lang w:val="kk-KZ"/>
        </w:rPr>
        <w:t xml:space="preserve"> (15%) = 30%; </w:t>
      </w:r>
    </w:p>
    <w:p w14:paraId="16E2945B" w14:textId="7D03094E" w:rsidR="00032C36" w:rsidRDefault="00032C36" w:rsidP="00032C36">
      <w:pPr>
        <w:pStyle w:val="a3"/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Итого 30% + 30% = 60%</w:t>
      </w:r>
    </w:p>
    <w:p w14:paraId="0D622BEC" w14:textId="77777777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0A3BAD71" w14:textId="729D2FC4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/>
          <w:color w:val="FF0000"/>
          <w:sz w:val="28"/>
          <w:szCs w:val="28"/>
          <w:lang w:val="kk-KZ"/>
        </w:rPr>
        <w:t>Конспект лекций прикрепляется на проверку через СДО.</w:t>
      </w:r>
    </w:p>
    <w:p w14:paraId="2E797E13" w14:textId="77777777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274F2D49" w14:textId="3A0F13C6" w:rsidR="00032C36" w:rsidRDefault="00032C36" w:rsidP="00032C36">
      <w:pPr>
        <w:rPr>
          <w:rFonts w:ascii="Times New Roman" w:eastAsiaTheme="minorHAnsi" w:hAnsi="Times New Roman"/>
          <w:b/>
          <w:bCs/>
          <w:sz w:val="32"/>
          <w:szCs w:val="32"/>
          <w:lang w:val="kk-KZ"/>
        </w:rPr>
      </w:pPr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 xml:space="preserve">Задание на РЕФЕРАТ </w:t>
      </w:r>
    </w:p>
    <w:p w14:paraId="431DC2C2" w14:textId="7B9CDD87" w:rsidR="00C17F40" w:rsidRDefault="00C17F40" w:rsidP="00C17F40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«Проектирование мостовых переходов» </w:t>
      </w:r>
    </w:p>
    <w:p w14:paraId="0FA4E419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eastAsiaTheme="minorHAnsi" w:hAnsi="Times New Roman"/>
          <w:sz w:val="28"/>
          <w:szCs w:val="28"/>
        </w:rPr>
      </w:pPr>
      <w:bookmarkStart w:id="0" w:name="_Hlk25179209"/>
      <w:r>
        <w:rPr>
          <w:rFonts w:ascii="Times New Roman" w:hAnsi="Times New Roman"/>
          <w:sz w:val="28"/>
          <w:szCs w:val="28"/>
        </w:rPr>
        <w:t xml:space="preserve">Характеристика района проектирования. Природные и руслоформирующие процессы; </w:t>
      </w:r>
    </w:p>
    <w:p w14:paraId="43CF5279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Характеристика района проектирования. Природные деформации дна реки;</w:t>
      </w:r>
    </w:p>
    <w:p w14:paraId="039BB910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Особенности гидрологических задач. Гидрологические расчеты;</w:t>
      </w:r>
    </w:p>
    <w:p w14:paraId="08174AC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Особенности гидрологических задач. Определение расходов по соответствующим уровням вероятностей превышения воды;</w:t>
      </w:r>
    </w:p>
    <w:p w14:paraId="009C24A3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Расчётные уровни воды. Расходная характеристика Sэ по результатам многолетних наблюдений;</w:t>
      </w:r>
    </w:p>
    <w:p w14:paraId="0136361E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Морфометрические изыскания. Морфометрический расчёт  распределения расхода по элементам речной долины;</w:t>
      </w:r>
    </w:p>
    <w:p w14:paraId="17C6D98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Морфометрические изыскания. Основные исходные данные применяемые при проектировании мостовых переходов;</w:t>
      </w:r>
    </w:p>
    <w:p w14:paraId="4293804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Морфометрические изыскания. Морфометрический расчет (на примере – схема, таблица);</w:t>
      </w:r>
    </w:p>
    <w:p w14:paraId="2FACA40E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Морфометрические изыскания. Площади элементов дна реки – </w:t>
      </w:r>
      <w:bookmarkStart w:id="1" w:name="_Hlk22932757"/>
      <w:r>
        <w:rPr>
          <w:rFonts w:ascii="Times New Roman" w:hAnsi="Times New Roman"/>
          <w:sz w:val="28"/>
          <w:szCs w:val="28"/>
        </w:rPr>
        <w:t>Wр.</w:t>
      </w:r>
      <w:bookmarkEnd w:id="1"/>
      <w:r>
        <w:rPr>
          <w:rFonts w:ascii="Times New Roman" w:hAnsi="Times New Roman"/>
          <w:sz w:val="28"/>
          <w:szCs w:val="28"/>
        </w:rPr>
        <w:t>, Wп.;</w:t>
      </w:r>
    </w:p>
    <w:p w14:paraId="0D1E8C19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Морфометрические изыскания. Средние глубины элементов речной долины - </w:t>
      </w:r>
      <w:r>
        <w:rPr>
          <w:rFonts w:ascii="Times New Roman" w:hAnsi="Times New Roman"/>
          <w:sz w:val="28"/>
          <w:szCs w:val="28"/>
          <w:lang w:val="en-US"/>
        </w:rPr>
        <w:t>hp</w:t>
      </w:r>
      <w:r>
        <w:rPr>
          <w:rFonts w:ascii="Times New Roman" w:hAnsi="Times New Roman"/>
          <w:sz w:val="28"/>
          <w:szCs w:val="28"/>
        </w:rPr>
        <w:t xml:space="preserve">., </w:t>
      </w:r>
      <w:r>
        <w:rPr>
          <w:rFonts w:ascii="Times New Roman" w:hAnsi="Times New Roman"/>
          <w:sz w:val="28"/>
          <w:szCs w:val="28"/>
          <w:lang w:val="en-US"/>
        </w:rPr>
        <w:t>h</w:t>
      </w:r>
      <w:r>
        <w:rPr>
          <w:rFonts w:ascii="Times New Roman" w:hAnsi="Times New Roman"/>
          <w:sz w:val="28"/>
          <w:szCs w:val="28"/>
          <w:lang w:val="kk-KZ"/>
        </w:rPr>
        <w:t>п</w:t>
      </w:r>
      <w:r>
        <w:rPr>
          <w:rFonts w:ascii="Times New Roman" w:hAnsi="Times New Roman"/>
          <w:sz w:val="28"/>
          <w:szCs w:val="28"/>
        </w:rPr>
        <w:t>;</w:t>
      </w:r>
    </w:p>
    <w:p w14:paraId="67F15AD8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Расчётнные уровни воды. Вероятность превышения /ВП/ % при определении уровня воды;</w:t>
      </w:r>
    </w:p>
    <w:p w14:paraId="3137006A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Расходная характеристика.  Расход воды с учётом всех показателей элементов дна реки;</w:t>
      </w:r>
    </w:p>
    <w:p w14:paraId="2617A439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Горизонт высокой воды. Расчетный уровень по результатам многолетних наблюдений;</w:t>
      </w:r>
    </w:p>
    <w:p w14:paraId="7403DDA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Глубина воды элементов реки. Морфометрические изыскания;</w:t>
      </w:r>
    </w:p>
    <w:p w14:paraId="535AF2F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Особенности гидравлических задач. Гидравлические расчеты;</w:t>
      </w:r>
    </w:p>
    <w:p w14:paraId="6327901F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Понятие о коэффициенте размыва. Виды размывов под мостом;</w:t>
      </w:r>
    </w:p>
    <w:p w14:paraId="7FD0DD69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bookmarkStart w:id="2" w:name="_Hlk22931668"/>
      <w:r>
        <w:rPr>
          <w:rFonts w:ascii="Times New Roman" w:hAnsi="Times New Roman"/>
          <w:sz w:val="28"/>
          <w:szCs w:val="28"/>
        </w:rPr>
        <w:t xml:space="preserve">Типовые схемы и формулы необходимые для определения отверстия мостов׃ </w:t>
      </w:r>
      <w:bookmarkEnd w:id="2"/>
      <w:r>
        <w:rPr>
          <w:rFonts w:ascii="Times New Roman" w:hAnsi="Times New Roman"/>
          <w:sz w:val="28"/>
          <w:szCs w:val="28"/>
        </w:rPr>
        <w:t xml:space="preserve">мост в подпоре наибольшего водотока; </w:t>
      </w:r>
    </w:p>
    <w:p w14:paraId="0ACAF16B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Типовые схемы и формулы необходимые для определения отверстия мостов׃ мост с групповыми отверстиями;</w:t>
      </w:r>
    </w:p>
    <w:p w14:paraId="269C5B7B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Типовые схемы и формулы необходимые для определения отверстия мостов׃   мост ниже плотин некапитального типа;</w:t>
      </w:r>
    </w:p>
    <w:p w14:paraId="576E4DB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Разработка схемы моста. Проектирование пойменных насыпеи;</w:t>
      </w:r>
    </w:p>
    <w:p w14:paraId="3DA7F24B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Разработка схемы моста. Проектирование водорегуляционных сооружений;</w:t>
      </w:r>
    </w:p>
    <w:p w14:paraId="6F070368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Разработка схемы моста. Проектная линия на затопляемых берегах; </w:t>
      </w:r>
    </w:p>
    <w:p w14:paraId="7B1A96A7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Высота моста. Определение расчетного судоходного уровня воды; </w:t>
      </w:r>
    </w:p>
    <w:p w14:paraId="461277D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Высота моста. Определение отметки проезжей части моста; </w:t>
      </w:r>
    </w:p>
    <w:p w14:paraId="4D8C0743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Схема разработки моста.  Отметки на различных участках проезжей части моста;</w:t>
      </w:r>
    </w:p>
    <w:p w14:paraId="0FFF69DD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Схема разработки моста. Отметки проезжих частей на различных участках пойменных насыпей;</w:t>
      </w:r>
    </w:p>
    <w:p w14:paraId="548CF290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Схема разработки моста. Проектирование выпуклых и вогнутых кривых с учётом расчётного продольного уклона;</w:t>
      </w:r>
    </w:p>
    <w:p w14:paraId="3E426FC1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bookmarkStart w:id="3" w:name="_Hlk22933617"/>
      <w:r>
        <w:rPr>
          <w:rFonts w:ascii="Times New Roman" w:hAnsi="Times New Roman"/>
          <w:sz w:val="28"/>
          <w:szCs w:val="28"/>
        </w:rPr>
        <w:t xml:space="preserve">Различного рода размывы под мостом. Защита откосов насыпей подходов к мосту </w:t>
      </w:r>
      <w:bookmarkEnd w:id="3"/>
      <w:r>
        <w:rPr>
          <w:rFonts w:ascii="Times New Roman" w:hAnsi="Times New Roman"/>
          <w:sz w:val="28"/>
          <w:szCs w:val="28"/>
        </w:rPr>
        <w:t>от воздействия потока воды;</w:t>
      </w:r>
    </w:p>
    <w:p w14:paraId="15C6191B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Различного рода размывы под мостом. Защита откосов насыпей подходов к мосту от набега волны и ледового разрушения  с помощью дамб; </w:t>
      </w:r>
    </w:p>
    <w:p w14:paraId="6BBDDA0D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Регулирование потоков воды на подходах к мостам с помощью дамб и траверсов.  Проектирование водорегуляционных сооружений;</w:t>
      </w:r>
      <w:bookmarkEnd w:id="0"/>
    </w:p>
    <w:p w14:paraId="4BEB83DF" w14:textId="77777777" w:rsidR="00971FBA" w:rsidRDefault="00971FBA" w:rsidP="00C17F40">
      <w:pPr>
        <w:jc w:val="center"/>
        <w:rPr>
          <w:rFonts w:ascii="Times New Roman" w:eastAsiaTheme="minorHAnsi" w:hAnsi="Times New Roman"/>
          <w:b/>
          <w:bCs/>
          <w:sz w:val="28"/>
          <w:szCs w:val="28"/>
        </w:rPr>
      </w:pPr>
    </w:p>
    <w:sectPr w:rsidR="00971F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66602"/>
    <w:multiLevelType w:val="hybridMultilevel"/>
    <w:tmpl w:val="C428B0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012"/>
    <w:rsid w:val="00032C36"/>
    <w:rsid w:val="000B7012"/>
    <w:rsid w:val="00341852"/>
    <w:rsid w:val="00971FBA"/>
    <w:rsid w:val="00B254FA"/>
    <w:rsid w:val="00C17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3C5C9"/>
  <w15:chartTrackingRefBased/>
  <w15:docId w15:val="{8926B147-70D5-47E1-AEC4-7F96669E1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C3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C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93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434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2020-09-17T04:31:00Z</dcterms:created>
  <dcterms:modified xsi:type="dcterms:W3CDTF">2021-02-18T14:57:00Z</dcterms:modified>
</cp:coreProperties>
</file>